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185" w:rsidRPr="000F3880" w:rsidRDefault="008E6A94" w:rsidP="00080DA6">
      <w:pPr>
        <w:rPr>
          <w:rFonts w:ascii="Arial" w:hAnsi="Arial" w:cs="Arial"/>
          <w:b/>
          <w:bCs/>
          <w:sz w:val="22"/>
        </w:rPr>
      </w:pPr>
      <w:r w:rsidRPr="000F3880">
        <w:rPr>
          <w:rFonts w:ascii="Arial" w:hAnsi="Arial" w:cs="Arial"/>
          <w:b/>
          <w:bCs/>
          <w:sz w:val="22"/>
        </w:rPr>
        <w:t>Causas de la Primera Guerra Mundial</w:t>
      </w:r>
    </w:p>
    <w:p w:rsidR="00387185" w:rsidRPr="000F3880" w:rsidRDefault="008E6A94" w:rsidP="00080DA6">
      <w:pPr>
        <w:rPr>
          <w:rFonts w:ascii="Arial" w:hAnsi="Arial" w:cs="Arial"/>
          <w:sz w:val="22"/>
        </w:rPr>
      </w:pPr>
      <w:r w:rsidRPr="000F3880">
        <w:rPr>
          <w:rFonts w:ascii="Arial" w:hAnsi="Arial" w:cs="Arial"/>
          <w:sz w:val="22"/>
        </w:rPr>
        <w:t>Después de la gran cantidad de trabajos que se han publicado sobre el tema de las causas de la Primera Guerra Mundial podemos hoy afirmar que junto a aquellas inmediatas de tipo coyuntural existen otras de tipo estructural, de mayor alcance en el espacio y en el tiempo, que explicarían no solo el estallido de la confrontación bélica, sino la implicación de contendientes de todo el mundo, por primera vez en la historia.</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Causas oficiales e inmediatas</w:t>
      </w:r>
    </w:p>
    <w:p w:rsidR="00387185" w:rsidRPr="000F3880" w:rsidRDefault="008E6A94" w:rsidP="00080DA6">
      <w:pPr>
        <w:rPr>
          <w:rFonts w:ascii="Arial" w:hAnsi="Arial" w:cs="Arial"/>
          <w:sz w:val="22"/>
        </w:rPr>
      </w:pPr>
      <w:r w:rsidRPr="000F3880">
        <w:rPr>
          <w:rFonts w:ascii="Arial" w:hAnsi="Arial" w:cs="Arial"/>
          <w:sz w:val="22"/>
        </w:rPr>
        <w:t xml:space="preserve">La causa “oficial” del conflicto se establece en el Tratado de Versalles (junio de 1919) como la voluntad de guerra de Alemania, que quiere imponer su hegemonía en Europa —y esta es la tesis del historiador alemán Fisher—. Desde el punto de vista de los vencedores, esta es una explicación muy conveniente, sin embargo, la realidad es muy distinta y más compleja. En lugar de voluntad de guerra habría que hablar de aceptación de los riesgos bélicos, según opinión del historiador italiano G. E. </w:t>
      </w:r>
      <w:proofErr w:type="spellStart"/>
      <w:r w:rsidRPr="000F3880">
        <w:rPr>
          <w:rFonts w:ascii="Arial" w:hAnsi="Arial" w:cs="Arial"/>
          <w:sz w:val="22"/>
        </w:rPr>
        <w:t>Rusconi</w:t>
      </w:r>
      <w:proofErr w:type="spellEnd"/>
      <w:r w:rsidRPr="000F3880">
        <w:rPr>
          <w:rFonts w:ascii="Arial" w:hAnsi="Arial" w:cs="Arial"/>
          <w:sz w:val="22"/>
        </w:rPr>
        <w:t xml:space="preserve">, compartida por François </w:t>
      </w:r>
      <w:proofErr w:type="spellStart"/>
      <w:r w:rsidRPr="000F3880">
        <w:rPr>
          <w:rFonts w:ascii="Arial" w:hAnsi="Arial" w:cs="Arial"/>
          <w:sz w:val="22"/>
        </w:rPr>
        <w:t>Fejtö</w:t>
      </w:r>
      <w:proofErr w:type="spellEnd"/>
      <w:r w:rsidRPr="000F3880">
        <w:rPr>
          <w:rFonts w:ascii="Arial" w:hAnsi="Arial" w:cs="Arial"/>
          <w:sz w:val="22"/>
        </w:rPr>
        <w:t>, una vez la marcha atrás fue inviable.</w:t>
      </w:r>
    </w:p>
    <w:p w:rsidR="00387185" w:rsidRPr="000F3880" w:rsidRDefault="008E6A94" w:rsidP="00080DA6">
      <w:pPr>
        <w:rPr>
          <w:rFonts w:ascii="Arial" w:hAnsi="Arial" w:cs="Arial"/>
          <w:sz w:val="22"/>
        </w:rPr>
      </w:pPr>
      <w:r w:rsidRPr="000F3880">
        <w:rPr>
          <w:rFonts w:ascii="Arial" w:hAnsi="Arial" w:cs="Arial"/>
          <w:sz w:val="22"/>
        </w:rPr>
        <w:t>Independientemente de la responsabilidad, hay que explicar por qué el conflicto militar que comenzó el 28 de julio de 1914 como un enfrentamiento localizado en el Imperio Austro-Húngaro y Serbia se transformó en un primer momento en un enfrentamiento armado a escala europea, cuando la declaración de guerra austro-húngara se extendió a Rusia el 1 de agosto de 1914, y finalmente pasó a ser una guerra mundial, en la que a su término habían participado 32 naciones. Veintiocho de ellas, denominadas “aliadas” o “potencias asociadas”, entre las que se encontraban Gran Bretaña, Francia, Rusia, Italia y Estados Unidos, lucharon contra la coalición de los llamados Imperios Centrales, integrada por Alemania, Austria-Hungría, el Imperio otomano y Bulgaria.</w:t>
      </w:r>
    </w:p>
    <w:p w:rsidR="00387185" w:rsidRPr="000F3880" w:rsidRDefault="008E6A94" w:rsidP="00080DA6">
      <w:pPr>
        <w:rPr>
          <w:rFonts w:ascii="Arial" w:hAnsi="Arial" w:cs="Arial"/>
          <w:sz w:val="22"/>
        </w:rPr>
      </w:pPr>
      <w:r w:rsidRPr="000F3880">
        <w:rPr>
          <w:rFonts w:ascii="Arial" w:hAnsi="Arial" w:cs="Arial"/>
          <w:sz w:val="22"/>
        </w:rPr>
        <w:t>La causa inmediata del inicio de las hostilidades entre Austria-Hungría y Serbia fue el asesinato del archiduque Francisco Fernando de Habsburgo</w:t>
      </w:r>
      <w:r w:rsidRPr="000F3880">
        <w:rPr>
          <w:rStyle w:val="Refdenotaalpie"/>
          <w:rFonts w:ascii="Arial" w:hAnsi="Arial" w:cs="Arial"/>
          <w:sz w:val="22"/>
        </w:rPr>
        <w:footnoteReference w:id="1"/>
      </w:r>
      <w:r w:rsidRPr="000F3880">
        <w:rPr>
          <w:rFonts w:ascii="Arial" w:hAnsi="Arial" w:cs="Arial"/>
          <w:sz w:val="22"/>
        </w:rPr>
        <w:t xml:space="preserve">, heredero del trono austro-húngaro, cometido en Sarajevo (Bosnia, entonces parte del Imperio Austro-Húngaro; en la actualidad Bosnia-Herzegovina) el 28 de junio de 1914 por el nacionalista serbio </w:t>
      </w:r>
      <w:proofErr w:type="spellStart"/>
      <w:r w:rsidRPr="000F3880">
        <w:rPr>
          <w:rFonts w:ascii="Arial" w:hAnsi="Arial" w:cs="Arial"/>
          <w:sz w:val="22"/>
        </w:rPr>
        <w:t>Gavrilo</w:t>
      </w:r>
      <w:proofErr w:type="spellEnd"/>
      <w:r w:rsidRPr="000F3880">
        <w:rPr>
          <w:rFonts w:ascii="Arial" w:hAnsi="Arial" w:cs="Arial"/>
          <w:sz w:val="22"/>
        </w:rPr>
        <w:t xml:space="preserve"> </w:t>
      </w:r>
      <w:proofErr w:type="spellStart"/>
      <w:r w:rsidRPr="000F3880">
        <w:rPr>
          <w:rFonts w:ascii="Arial" w:hAnsi="Arial" w:cs="Arial"/>
          <w:sz w:val="22"/>
        </w:rPr>
        <w:t>Princip</w:t>
      </w:r>
      <w:proofErr w:type="spellEnd"/>
      <w:r w:rsidRPr="000F3880">
        <w:rPr>
          <w:rFonts w:ascii="Arial" w:hAnsi="Arial" w:cs="Arial"/>
          <w:sz w:val="22"/>
        </w:rPr>
        <w:t>. Si años antes no se hubieran formado bloques de alianzas militares</w:t>
      </w:r>
      <w:r w:rsidRPr="000F3880">
        <w:rPr>
          <w:rStyle w:val="Refdenotaalpie"/>
          <w:rFonts w:ascii="Arial" w:hAnsi="Arial" w:cs="Arial"/>
          <w:sz w:val="22"/>
        </w:rPr>
        <w:footnoteReference w:id="2"/>
      </w:r>
      <w:r w:rsidRPr="000F3880">
        <w:rPr>
          <w:rFonts w:ascii="Arial" w:hAnsi="Arial" w:cs="Arial"/>
          <w:sz w:val="22"/>
        </w:rPr>
        <w:t xml:space="preserve"> y el atentado no hubiera ocurrido en la explosiva zona de los Balcanes, donde los intereses de Austria chocaban con los de Rusia, tal vez no se habría pasado de un conflicto localizado. Pero Austria, preocupada por la corriente nacionalista del paneslavismo —la Gran Serbia—, no quiso desaprovechar el incidente para acusar a Serbia de haber preparado el atentado y para dictar un ultimátum de guerra si no se cumplían todas sus condiciones. El gobierno austro-húngaro, que consideraba que el asesinato había sido obra del movimiento nacionalista de la Gran Serbia, decidió suprimir esta agrupación enviando una expedición militar a Serbia. El 23 de julio, Austria-Hungría envió un ultimátum a Serbia que contenía diez condiciones concretas, la mayoría de las cuales estaban relacionadas con la eliminación de la propaganda anti-austriaca en Serbia. Ésta, alentada por Gran Bretaña y Rusia, aceptó las exigencias austro-húngaras salvo dos de ellas el 25 de julio, pero Austria replicó que la respuesta serbia no era satisfactoria. Según G. E. </w:t>
      </w:r>
      <w:proofErr w:type="spellStart"/>
      <w:r w:rsidRPr="000F3880">
        <w:rPr>
          <w:rFonts w:ascii="Arial" w:hAnsi="Arial" w:cs="Arial"/>
          <w:sz w:val="22"/>
        </w:rPr>
        <w:t>Rusconi</w:t>
      </w:r>
      <w:proofErr w:type="spellEnd"/>
      <w:r w:rsidRPr="000F3880">
        <w:rPr>
          <w:rFonts w:ascii="Arial" w:hAnsi="Arial" w:cs="Arial"/>
          <w:sz w:val="22"/>
        </w:rPr>
        <w:t>, la causa inmediata de la guerra fue que toda negociación que no h</w:t>
      </w:r>
      <w:bookmarkStart w:id="0" w:name="_GoBack"/>
      <w:bookmarkEnd w:id="0"/>
      <w:r w:rsidRPr="000F3880">
        <w:rPr>
          <w:rFonts w:ascii="Arial" w:hAnsi="Arial" w:cs="Arial"/>
          <w:sz w:val="22"/>
        </w:rPr>
        <w:t xml:space="preserve">ubiera significado una “humillación </w:t>
      </w:r>
      <w:r w:rsidRPr="000F3880">
        <w:rPr>
          <w:rFonts w:ascii="Arial" w:hAnsi="Arial" w:cs="Arial"/>
          <w:sz w:val="22"/>
        </w:rPr>
        <w:lastRenderedPageBreak/>
        <w:t>sustancial” a la autonomía serbia era inaceptable para Austria y que tal humillación era inaceptable para Rusia.</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El fracaso diplomático</w:t>
      </w:r>
    </w:p>
    <w:p w:rsidR="00387185" w:rsidRPr="000F3880" w:rsidRDefault="008E6A94" w:rsidP="00080DA6">
      <w:pPr>
        <w:rPr>
          <w:rFonts w:ascii="Arial" w:hAnsi="Arial" w:cs="Arial"/>
          <w:sz w:val="22"/>
        </w:rPr>
      </w:pPr>
      <w:r w:rsidRPr="000F3880">
        <w:rPr>
          <w:rFonts w:ascii="Arial" w:hAnsi="Arial" w:cs="Arial"/>
          <w:sz w:val="22"/>
        </w:rPr>
        <w:t xml:space="preserve">Las gestiones diplomáticas intentaron detener el conflicto que se avecinaba. Los rusos trataron de convencer a Austria para que modificara los términos exigidos, y declararon </w:t>
      </w:r>
      <w:r w:rsidR="00080DA6" w:rsidRPr="000F3880">
        <w:rPr>
          <w:rFonts w:ascii="Arial" w:hAnsi="Arial" w:cs="Arial"/>
          <w:sz w:val="22"/>
        </w:rPr>
        <w:t>que,</w:t>
      </w:r>
      <w:r w:rsidRPr="000F3880">
        <w:rPr>
          <w:rFonts w:ascii="Arial" w:hAnsi="Arial" w:cs="Arial"/>
          <w:sz w:val="22"/>
        </w:rPr>
        <w:t xml:space="preserve"> si los austriacos atacaban Serbia, ellos se movilizarían contra Austria. El ministro de Asuntos Exteriores británico, sir Edward Grey propuso el 26 de julio que Gran Bretaña, Francia, Alemania e Italia se reunieran en una conferencia para arbitrar en la disputa austro-serbia, pero Alemania declinó dicha oferta. El fracaso diplomático se hizo del todo evidente cuando Austria declaró la guerra a Serbia el 28 de julio, ya fuera porque creía que Rusia no llegaría a unirse a Serbia o porque estaba dispuesta a correr el riesgo de un conflicto europeo general con tal de poner fin al movimiento nacionalista serbio. Rusia respondió movilizándose contra Austria. Alemania advirtió a Rusia de que si persistía en su actitud le declararía la guerra, y consiguió que Austria accediera a discutir con Rusia una posible modificación del ultimátum enviado a los serbios. No obstante, Alemania insistió en que los rusos retiraran sus tropas inmediatamente. Rusia se negó a hacerlo y Alemania le declaró la guerra el 1 de agosto.</w:t>
      </w:r>
    </w:p>
    <w:p w:rsidR="00387185" w:rsidRPr="000F3880" w:rsidRDefault="008E6A94" w:rsidP="00080DA6">
      <w:pPr>
        <w:rPr>
          <w:rFonts w:ascii="Arial" w:hAnsi="Arial" w:cs="Arial"/>
          <w:sz w:val="22"/>
        </w:rPr>
      </w:pPr>
      <w:r w:rsidRPr="000F3880">
        <w:rPr>
          <w:rFonts w:ascii="Arial" w:hAnsi="Arial" w:cs="Arial"/>
          <w:sz w:val="22"/>
        </w:rPr>
        <w:t>Los franceses comenzaron la movilización de sus fuerzas ese mismo día; las tropas alemanas cruzaron la frontera de Luxemburgo el 2 de agosto y Alemania declaró la guerra a Francia al día siguiente. El día anterior, el gobierno alemán había informado al gobierno belga de su intención de marchar sobre Francia cruzando Bélgica, a fin de evitar que los franceses utilizaran esta ruta para atacar Alemania. Las autoridades belgas se negaron a permitir el paso por su territorio de las tropas alemanas y recurrieron a los países firmantes del Tratado de 1839 —en el que se garantizaba la neutralidad de Bélgica en el caso de un conflicto en el que estuvieran implicados Gran Bretaña, Francia y Alemania— para que se cumpliera lo establecido en dicho acuerdo. Gran Bretaña, uno de los países signatarios del Tratado de 1839, envió un ultimátum a Alemania el 4 de agosto en el que se exigía que se respetara la neutralidad de Bélgica; Alemania rechazó la petición y el gobierno británico le declaró la guerra ese mismo día. Italia permaneció neutral hasta el 23 de mayo de 1915, cuando rompió su pacto con la Triple Alianza para satisfacer sus aspiraciones territoriales y declaró la guerra a Austria-Hungría. La unidad de los aliados se fortaleció en septiembre de 1914 a través del Pacto de Londres, firmado por Francia, Gran Bretaña y Rusia. A medida que avanzaba la contienda, fueron sumándose al conflicto países como el Imperio otomano, Japón, Estados Unidos y otras naciones del continente americano. Japón, que había firmado una alianza con Gran Bretaña en 1902, declaró la guerra a Alemania el 23 de agosto de 1914, y el 6 de abril de 1917 lo hizo Estados Unidos.</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Las causas profundas de la guerra</w:t>
      </w:r>
    </w:p>
    <w:p w:rsidR="00387185" w:rsidRPr="000F3880" w:rsidRDefault="008E6A94" w:rsidP="00080DA6">
      <w:pPr>
        <w:rPr>
          <w:rFonts w:ascii="Arial" w:hAnsi="Arial" w:cs="Arial"/>
          <w:sz w:val="22"/>
        </w:rPr>
      </w:pPr>
      <w:r w:rsidRPr="000F3880">
        <w:rPr>
          <w:rFonts w:ascii="Arial" w:hAnsi="Arial" w:cs="Arial"/>
          <w:sz w:val="22"/>
        </w:rPr>
        <w:t>Hasta aquí, las circunstancias y los acontecimientos estrictamente contemporáneos de la confrontación que, sin embargo, no explican la magnitud ni la gestación de la misma. La Europa en la que se fraguó la guerra nacía de las divisiones territoriales artificiales impuestas por la Restauración de principios del siglo XIX, de los nacionalismos que a mediados del mismo siglo aspiraban a reformar estas divisiones e instaurar estados soberanos y de la potencia económica que la revolución industrial y el capitalismo había proporcionado a unos estados-nación que, al final del s. XIX y principio del XX, competían ferozmente en el plano económico, político y territorial —competencia traducida en innumerables conflictos, exacerbados por la política imperialista y la globalización de la economía—. Las causas profundas de la Primera Guerra Mundial hay que buscarlas, pues, en la historia europea del siglo XIX, y más concretamente, en las tendencias económicas y políticas que imperaron en Europa desde 1871, año en el que fue fundado y emergió como gran potencia el Segundo Imperio Alemán.</w:t>
      </w:r>
      <w:r w:rsidRPr="000F3880">
        <w:rPr>
          <w:rFonts w:ascii="Arial" w:hAnsi="Arial" w:cs="Arial"/>
          <w:sz w:val="22"/>
        </w:rPr>
        <w:cr/>
      </w:r>
      <w:r w:rsidRPr="000F3880">
        <w:rPr>
          <w:rFonts w:ascii="Arial" w:hAnsi="Arial" w:cs="Arial"/>
          <w:sz w:val="22"/>
        </w:rPr>
        <w:lastRenderedPageBreak/>
        <w:t xml:space="preserve">Así pues, los verdaderos factores que desencadenaron la Primera Guerra Mundial fueron el intenso espíritu nacionalista que se extendió por Europa a lo largo del siglo XIX y comienzos del XX, la rivalidad económica y política entre las distintas naciones y el proceso de militarización y de vertiginosa carrera armamentística que caracterizó a la sociedad internacional durante el último tercio del siglo XIX, a partir de la creación de dos sistemas de alianzas enfrentadas. Algunos autores como Jacques </w:t>
      </w:r>
      <w:proofErr w:type="spellStart"/>
      <w:r w:rsidRPr="000F3880">
        <w:rPr>
          <w:rFonts w:ascii="Arial" w:hAnsi="Arial" w:cs="Arial"/>
          <w:sz w:val="22"/>
        </w:rPr>
        <w:t>Droz</w:t>
      </w:r>
      <w:proofErr w:type="spellEnd"/>
      <w:r w:rsidRPr="000F3880">
        <w:rPr>
          <w:rFonts w:ascii="Arial" w:hAnsi="Arial" w:cs="Arial"/>
          <w:sz w:val="22"/>
        </w:rPr>
        <w:t xml:space="preserve"> (</w:t>
      </w:r>
      <w:r w:rsidRPr="000F3880">
        <w:rPr>
          <w:rFonts w:ascii="Arial" w:hAnsi="Arial" w:cs="Arial"/>
          <w:i/>
          <w:iCs/>
          <w:sz w:val="22"/>
        </w:rPr>
        <w:t>Las causas de la Primera Guerra Mundial</w:t>
      </w:r>
      <w:r w:rsidRPr="000F3880">
        <w:rPr>
          <w:rFonts w:ascii="Arial" w:hAnsi="Arial" w:cs="Arial"/>
          <w:sz w:val="22"/>
        </w:rPr>
        <w:t>) enfatizan la influencia del aspecto ideológico, si bien la Historiografía actual no lo considera decisivo. Más bien se incide en el aspecto político —nacionalismos imperialistas, militarización— y en la evolución del liberalismo económico y capitalista —globalización, necesidad de nuevos mercados— que llevaron a una creciente rivalidad entre las naciones, convertidas en imperios. Habrá, pues, que analizar el desarrollo de estos factores con mayor detalle.</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Las ideologías: nacionalismo, liberalismo y socialismo</w:t>
      </w:r>
    </w:p>
    <w:p w:rsidR="00387185" w:rsidRPr="000F3880" w:rsidRDefault="008E6A94" w:rsidP="00080DA6">
      <w:pPr>
        <w:rPr>
          <w:rFonts w:ascii="Arial" w:hAnsi="Arial" w:cs="Arial"/>
          <w:sz w:val="22"/>
        </w:rPr>
      </w:pPr>
      <w:r w:rsidRPr="000F3880">
        <w:rPr>
          <w:rFonts w:ascii="Arial" w:hAnsi="Arial" w:cs="Arial"/>
          <w:sz w:val="22"/>
        </w:rPr>
        <w:t>La Revolución Francesa y las Guerras Napoleónicas habían difundido por la mayor parte del continente europeo la idea de que las poblaciones que compartían un origen étnico, una lengua y unos mismos ideales políticos tenían derecho a formar estados independientes. Sin embargo, el principio de la autodeterminación nacional fue totalmente ignorado por las fuerzas dinásticas y reaccionarias que decidieron el destino de los asuntos europeos en el Congreso de Viena (1815). Muchos de los pueblos que deseaban su autonomía quedaron sometidos a dinastías locales o a otras naciones. Por ejemplo, los estados alemanes, integrados en la Confederación Germánica, quedaron divididos en numerosos ducados, principados y reinos de acuerdo con los términos del citado congreso; Italia también fue repartida en varias unidades políticas, algunas de las cuales estaban bajo control extranjero; los belgas flamencos y franceses de los Países Bajos austriacos quedaron supeditados al dominio holandés por decisión del Congreso. Las revoluciones y los fuertes movimientos nacionalistas del siglo XIX consiguieron anular gran parte de las imposiciones reaccionarias acordadas en Viena. Bélgica obtuvo la independencia de los Países Bajos en 1830; la unificación de Italia fue culminada en 1861, y la de Alemania en 1871. Sin embargo, los conflictos nacionalistas seguían sin resolverse en otras áreas de Europa a comienzos del siglo XX, lo que provocó tensiones en las regiones implicadas y entre diversas naciones europeas. Una de las más importantes corrientes nacionalistas, el paneslavismo, desempeñó un papel fundamental en los acontecimientos que precedieron a la guerra.</w:t>
      </w:r>
    </w:p>
    <w:p w:rsidR="00387185" w:rsidRPr="000F3880" w:rsidRDefault="008E6A94" w:rsidP="00080DA6">
      <w:pPr>
        <w:rPr>
          <w:rFonts w:ascii="Arial" w:hAnsi="Arial" w:cs="Arial"/>
          <w:sz w:val="22"/>
        </w:rPr>
      </w:pPr>
      <w:r w:rsidRPr="000F3880">
        <w:rPr>
          <w:rFonts w:ascii="Arial" w:hAnsi="Arial" w:cs="Arial"/>
          <w:sz w:val="22"/>
        </w:rPr>
        <w:t xml:space="preserve">Con todo, en general, la Primera Guerra Mundial no se explica por causas ideológicas, aunque qué duda cabe que el liberalismo, el nacionalismo (tal y como se entendía entonces) y el socialismo están profundamente enfrentados. Sin embargo, este enfrentamiento es, ante todo, social. La amenaza interna viene de las minorías que, dentro de la nación, no hablan la misma lengua y del internacionalismo obrero. En cada país se enfrentan los liberales, partidarios de una economía abierta, con los nacionalistas, partidarios de una economía protegida; y con los socialistas, partidarios de la destrucción del capitalismo y que pretenden convertir la guerra internacional en una guerra civil contra la burguesía, en una revolución, en una lucha de clases. Hay que tener en cuenta, ante todo, el enfrentamiento entre los nacionalismos expansivos de los grandes Estados coloniales y el nacionalismo separatista de los pequeños pueblos europeos; y el choque, tanto en Europa como en las colonias, de los grandes imperios; unos enfrentamientos viciados por los intereses económicos y políticos: por el dominio del mundo. El dominio del mundo, a la postre, significaba controlar: las regiones que proporcionaban las materias primas, los mercados, la fabricación y los canales de distribución de las mercancías. </w:t>
      </w:r>
    </w:p>
    <w:p w:rsidR="00387185" w:rsidRPr="000F3880" w:rsidRDefault="008E6A94" w:rsidP="00080DA6">
      <w:pPr>
        <w:rPr>
          <w:rFonts w:ascii="Arial" w:hAnsi="Arial" w:cs="Arial"/>
          <w:sz w:val="22"/>
        </w:rPr>
      </w:pPr>
      <w:r w:rsidRPr="000F3880">
        <w:rPr>
          <w:rFonts w:ascii="Arial" w:hAnsi="Arial" w:cs="Arial"/>
          <w:sz w:val="22"/>
        </w:rPr>
        <w:t xml:space="preserve">En esta situación, se harán llamamientos a la unidad para poder ganar la guerra. Los liberales presionarán para entrar en la guerra con el argumento de que hay que defender el mercado internacional. Los argumentos nacionalistas servirán para soliviantar a las masas populares en defensa de “la patria, la familia, las tradiciones, </w:t>
      </w:r>
      <w:r w:rsidRPr="000F3880">
        <w:rPr>
          <w:rFonts w:ascii="Arial" w:hAnsi="Arial" w:cs="Arial"/>
          <w:sz w:val="22"/>
        </w:rPr>
        <w:lastRenderedPageBreak/>
        <w:t xml:space="preserve">etc.”, y se creará la “unión sagrada” o la “unión patriótica”. Y los socialistas tratan de no implicarse en la guerra por ser una guerra imperialista: por ser “asuntos de la burguesía”. Cosa en la que fracasaron totalmente, el ideal nacionalista barrió el internacionalismo obrero; y es que el nacionalismo apelaba al sentimiento, no a la razón. Además, los pocos partidos socialistas que estaban en el parlamento (Inglaterra, Francia, Alemania, Rusia) se unieron a la pasión patriótica y nacionalista y apoyaron al Gobierno. Los socialistas que abogaban por el anti-belicismo estaban fuera del sistema parlamentario (Italia, Suiza: donde se refugiaban los exiliados, como Lenin) y en el caso del socialista francés Jean </w:t>
      </w:r>
      <w:proofErr w:type="spellStart"/>
      <w:r w:rsidRPr="000F3880">
        <w:rPr>
          <w:rFonts w:ascii="Arial" w:hAnsi="Arial" w:cs="Arial"/>
          <w:sz w:val="22"/>
        </w:rPr>
        <w:t>Jaurès</w:t>
      </w:r>
      <w:proofErr w:type="spellEnd"/>
      <w:r w:rsidRPr="000F3880">
        <w:rPr>
          <w:rFonts w:ascii="Arial" w:hAnsi="Arial" w:cs="Arial"/>
          <w:sz w:val="22"/>
        </w:rPr>
        <w:t xml:space="preserve">, fue asesinado por un “patriota”. </w:t>
      </w:r>
    </w:p>
    <w:p w:rsidR="00387185" w:rsidRPr="000F3880" w:rsidRDefault="008E6A94" w:rsidP="00080DA6">
      <w:pPr>
        <w:rPr>
          <w:rFonts w:ascii="Arial" w:hAnsi="Arial" w:cs="Arial"/>
          <w:sz w:val="22"/>
        </w:rPr>
      </w:pPr>
      <w:r w:rsidRPr="000F3880">
        <w:rPr>
          <w:rFonts w:ascii="Arial" w:hAnsi="Arial" w:cs="Arial"/>
          <w:sz w:val="22"/>
        </w:rPr>
        <w:t>Estas posturas ideológicas no pueden considerarse causas, sino actitudes ante la guerra. Es el desarrollo económico capitalista global, que empuja al imperialismo, y la rivalidad que genera entre los estados-naciones uno de los factores determinantes, si no el que más, de la génesis del conflicto.</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La economía y el imperialismo</w:t>
      </w:r>
    </w:p>
    <w:p w:rsidR="00387185" w:rsidRPr="000F3880" w:rsidRDefault="008E6A94" w:rsidP="00080DA6">
      <w:pPr>
        <w:rPr>
          <w:rFonts w:ascii="Arial" w:hAnsi="Arial" w:cs="Arial"/>
          <w:sz w:val="22"/>
        </w:rPr>
      </w:pPr>
      <w:r w:rsidRPr="000F3880">
        <w:rPr>
          <w:rFonts w:ascii="Arial" w:hAnsi="Arial" w:cs="Arial"/>
          <w:sz w:val="22"/>
        </w:rPr>
        <w:t xml:space="preserve">Como consecuencia de la Revolución Industrial —iniciada en Gran Bretaña a finales del siglo XVIII, en Francia a comienzos del XIX y en Alemania a partir de 1870— y del liberalismo económico, las economías de los países europeos dependían más de la producción y la comercialización de bienes y servicios, en cuanto a la cosecha de beneficios, que del sector primario, el cual mantenía su importancia pese a todo (del 40 al 50% de trabajadores varones en los países industriales, excepto el Reino Unido, y hasta el 90% en los demás países se dedicaba a la agricultura). Las naciones-estado impulsaron una economía nacional basada en la industrialización masiva lo que provocó un gran incremento de productos manufacturados que no podía absorber el mercado y, en </w:t>
      </w:r>
      <w:r w:rsidR="00080DA6" w:rsidRPr="000F3880">
        <w:rPr>
          <w:rFonts w:ascii="Arial" w:hAnsi="Arial" w:cs="Arial"/>
          <w:sz w:val="22"/>
        </w:rPr>
        <w:t>consecuencia,</w:t>
      </w:r>
      <w:r w:rsidRPr="000F3880">
        <w:rPr>
          <w:rFonts w:ascii="Arial" w:hAnsi="Arial" w:cs="Arial"/>
          <w:sz w:val="22"/>
        </w:rPr>
        <w:t xml:space="preserve"> se produjo una fuerte caída de los precios desde 1873 a 1896, el período más deflacionario de un siglo deflacionario en su conjunto (un 40% descendieron los precios en el Reino Unido en ese período). “La industrialización y la depresión hicieron [de las economías nacionales] un grupo de economías rivales, donde los beneficios de una parecían amenazar la posición de las otras. No sólo competían las empresas, sino también las naciones”</w:t>
      </w:r>
      <w:r w:rsidRPr="000F3880">
        <w:rPr>
          <w:rStyle w:val="Refdenotaalpie"/>
          <w:rFonts w:ascii="Arial" w:hAnsi="Arial" w:cs="Arial"/>
          <w:sz w:val="22"/>
        </w:rPr>
        <w:footnoteReference w:id="3"/>
      </w:r>
      <w:r w:rsidRPr="000F3880">
        <w:rPr>
          <w:rFonts w:ascii="Arial" w:hAnsi="Arial" w:cs="Arial"/>
          <w:sz w:val="22"/>
        </w:rPr>
        <w:t xml:space="preserve">. Y con los avances en los transportes y en las comunicaciones la competencia se extendía a escala mundial, el capitalismo (producción, comercio, finanzas) funcionaba bajo criterios globales bajo el imperativo de maximizar las ganancias y minimizar las pérdidas. </w:t>
      </w:r>
    </w:p>
    <w:p w:rsidR="00387185" w:rsidRPr="000F3880" w:rsidRDefault="008E6A94" w:rsidP="00080DA6">
      <w:pPr>
        <w:rPr>
          <w:rFonts w:ascii="Arial" w:hAnsi="Arial" w:cs="Arial"/>
          <w:sz w:val="22"/>
        </w:rPr>
      </w:pPr>
      <w:r w:rsidRPr="000F3880">
        <w:rPr>
          <w:rFonts w:ascii="Arial" w:hAnsi="Arial" w:cs="Arial"/>
          <w:sz w:val="22"/>
        </w:rPr>
        <w:t xml:space="preserve">Así pues, ¿qué cabía hacer? La expansión del mercado es la solución a esta situación deflacionaria pero el desarrollo de un gran mercado de bienes de consumo era muy lento y la incorporación de nuevos países en la carrera industrial creaba más competencia. La reacción política del proteccionismo apareció para intentar paliar la crisis mientras que la reacción empresarial consistió en la concentración de capital y en la “gestión científica del trabajo” (taylorismo, </w:t>
      </w:r>
      <w:proofErr w:type="spellStart"/>
      <w:r w:rsidRPr="000F3880">
        <w:rPr>
          <w:rFonts w:ascii="Arial" w:hAnsi="Arial" w:cs="Arial"/>
          <w:sz w:val="22"/>
        </w:rPr>
        <w:t>fordismo</w:t>
      </w:r>
      <w:proofErr w:type="spellEnd"/>
      <w:r w:rsidRPr="000F3880">
        <w:rPr>
          <w:rFonts w:ascii="Arial" w:hAnsi="Arial" w:cs="Arial"/>
          <w:sz w:val="22"/>
        </w:rPr>
        <w:t>). Finalmente, fue el imperialismo la solución a los problemas, unas conquistas coloniales que bajo la presión de los sectores capitalistas y empresariales se constituyeron en nuevos mercados. Aunque parece haber una conexión entre la depresión económica y la carrera imperialista debido a su coincidencia cronológica, no hay que menospreciar en el auge del fenómeno del imperialismo los intereses estratégicos militares e incluso, el mero prestigio que comportaba la anexión de territorios ultramarinos.</w:t>
      </w:r>
    </w:p>
    <w:p w:rsidR="00387185" w:rsidRPr="000F3880" w:rsidRDefault="008E6A94" w:rsidP="00080DA6">
      <w:pPr>
        <w:rPr>
          <w:rFonts w:ascii="Arial" w:hAnsi="Arial" w:cs="Arial"/>
          <w:sz w:val="22"/>
        </w:rPr>
      </w:pPr>
      <w:r w:rsidRPr="000F3880">
        <w:rPr>
          <w:rFonts w:ascii="Arial" w:hAnsi="Arial" w:cs="Arial"/>
          <w:sz w:val="22"/>
        </w:rPr>
        <w:t xml:space="preserve">A partir de 1890 se asiste a una prosperidad inusitada, que ha pasado a la historia con el nombre de la </w:t>
      </w:r>
      <w:r w:rsidRPr="000F3880">
        <w:rPr>
          <w:rFonts w:ascii="Arial" w:hAnsi="Arial" w:cs="Arial"/>
          <w:i/>
          <w:iCs/>
          <w:sz w:val="22"/>
        </w:rPr>
        <w:t xml:space="preserve">belle époque, </w:t>
      </w:r>
      <w:r w:rsidRPr="000F3880">
        <w:rPr>
          <w:rFonts w:ascii="Arial" w:hAnsi="Arial" w:cs="Arial"/>
          <w:sz w:val="22"/>
        </w:rPr>
        <w:t>en la que Estados Unidos y Alemania tienen mucho que ver, en detrimento de Gran Bretaña que pierde peso específico. Ahora, las colonias tienen un papel de suministradores de productos imprescindibles para el desarrollo tecnológico de las nuevas industrias del automóvil o la electricidad (petróleo, caucho, estaño, cobre), además proporcionan metales preciosos y productos de consumo (café, té, azúcar, cacao, plátanos, jabón). Esta necesidad de materias clave añade más leña a la hoguera de las rivalidades por controlar los territorios productores.</w:t>
      </w:r>
    </w:p>
    <w:p w:rsidR="00387185" w:rsidRPr="000F3880" w:rsidRDefault="008E6A94" w:rsidP="00080DA6">
      <w:pPr>
        <w:rPr>
          <w:rFonts w:ascii="Arial" w:hAnsi="Arial" w:cs="Arial"/>
          <w:sz w:val="22"/>
        </w:rPr>
      </w:pPr>
      <w:r w:rsidRPr="000F3880">
        <w:rPr>
          <w:rFonts w:ascii="Arial" w:hAnsi="Arial" w:cs="Arial"/>
          <w:sz w:val="22"/>
        </w:rPr>
        <w:lastRenderedPageBreak/>
        <w:t>El área en la que se desarrolló principalmente la política europea de expansión económica fue África, donde los respectivos intereses coloniales entraron en conflicto con bastante frecuencia, sobre todo por la convicción de que la explotación colonial solamente sería efectiva si los territorios controlados eran contiguos y unían dos riberas marítimas, a modo de un eje norte-sur o este-oeste. La rivalidad económica por el dominio del territorio africano entre Francia, Alemania y Gran Bretaña estuvo a punto, desde 1898 hasta 1914, de provocar una guerra en Europa en varias ocasiones. En definitiva, “las rivalidades políticas entre los Estados y la competitividad económica entre grupos nacionales de empresarios convergieron contribuyendo (...) tanto al imperialismo como a la génesis de la Primera Guerra Mundial. Por cierto, también condujeron al desarrollo de industrias como la de armamento, en la que el papel del Gobierno era decisivo.”</w:t>
      </w:r>
      <w:r w:rsidRPr="000F3880">
        <w:rPr>
          <w:rStyle w:val="Refdenotaalpie"/>
          <w:rFonts w:ascii="Arial" w:hAnsi="Arial" w:cs="Arial"/>
          <w:sz w:val="22"/>
        </w:rPr>
        <w:footnoteReference w:id="4"/>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El desarrollo militar y la carrera armamentística</w:t>
      </w:r>
    </w:p>
    <w:p w:rsidR="00387185" w:rsidRPr="000F3880" w:rsidRDefault="008E6A94" w:rsidP="00080DA6">
      <w:pPr>
        <w:rPr>
          <w:rFonts w:ascii="Arial" w:hAnsi="Arial" w:cs="Arial"/>
          <w:sz w:val="22"/>
        </w:rPr>
      </w:pPr>
      <w:r w:rsidRPr="000F3880">
        <w:rPr>
          <w:rFonts w:ascii="Arial" w:hAnsi="Arial" w:cs="Arial"/>
          <w:sz w:val="22"/>
        </w:rPr>
        <w:t>A consecuencia de todas estas tensiones internas y externas, las potencias europeas adoptaron medidas tanto en política interior como exterior entre 1871 y 1914 que, a su vez, aumentaron el peligro de un conflicto. Mantuvieron numerosos ejércitos permanentes, que ampliaban constantemente mediante reclutamientos realizados en tiempo de paz, y construyeron naves de guerra de mayor tamaño, velocidad y potencia de fuego. Gran Bretaña, influida por el desarrollo de la Armada alemana, que se inició en 1900, y por el curso de la Guerra Ruso-japonesa, modernizó su flota bajo la dirección del almirante sir John Fisher. El conflicto bélico que tuvo lugar entre Rusia y Japón había demostrado la eficacia del armamento naval de largo alcance. Los avances en otras áreas de la tecnología y organización militar estimularon la constitución de estados mayores capaces de elaborar planes de movilización y ataque muy precisos, integrados a menudo en programas que no podían anularse una vez iniciados.</w:t>
      </w:r>
    </w:p>
    <w:p w:rsidR="00387185" w:rsidRPr="000F3880" w:rsidRDefault="008E6A94" w:rsidP="00080DA6">
      <w:pPr>
        <w:rPr>
          <w:rFonts w:ascii="Arial" w:hAnsi="Arial" w:cs="Arial"/>
          <w:sz w:val="22"/>
        </w:rPr>
      </w:pPr>
      <w:r w:rsidRPr="000F3880">
        <w:rPr>
          <w:rFonts w:ascii="Arial" w:hAnsi="Arial" w:cs="Arial"/>
          <w:sz w:val="22"/>
        </w:rPr>
        <w:t>Los dirigentes de todos los países tomaron conciencia de que los crecientes gastos de armamento desembocarían con el tiempo en quiebras nacionales o en una guerra; por este motivo se intentó favorecer el desarme mundial en varias ocasiones, especialmente en las Conferencias de La Haya de 1899 y 1907. Sin embargo, la rivalidad internacional había llegado a tal punto que no fue posible alcanzar ningún acuerdo efectivo para decidir el desarme internacional.</w:t>
      </w:r>
    </w:p>
    <w:p w:rsidR="00387185" w:rsidRPr="000F3880" w:rsidRDefault="008E6A94" w:rsidP="00080DA6">
      <w:pPr>
        <w:rPr>
          <w:rFonts w:ascii="Arial" w:hAnsi="Arial" w:cs="Arial"/>
          <w:sz w:val="22"/>
        </w:rPr>
      </w:pPr>
      <w:r w:rsidRPr="000F3880">
        <w:rPr>
          <w:rFonts w:ascii="Arial" w:hAnsi="Arial" w:cs="Arial"/>
          <w:sz w:val="22"/>
        </w:rPr>
        <w:t>De forma paralela al proceso armamentístico, los estados europeos establecieron alianzas con otras potencias para no quedar aisladas en el caso de que estallara una guerra. Esta actitud generó un fenómeno que, en sí mismo, incrementó enormemente las posibilidades de un conflicto generalizado: el alineamiento de las grandes potencias europeas en dos alianzas militares hostiles, la Triple Alianza (Alemania, Austria-Hungría e Italia) y la Triple Entente (Gran Bretaña, Francia y Rusia). Los propios cambios que se produjeron en el seno de estas asociaciones contribuyeron a crear una atmósfera de crisis latente por la cual el periodo fue denominado de la “paz armada”.</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Los conflictos pre-bélicos: la crisis de 1905-1914</w:t>
      </w:r>
    </w:p>
    <w:p w:rsidR="00387185" w:rsidRPr="000F3880" w:rsidRDefault="008E6A94" w:rsidP="00080DA6">
      <w:pPr>
        <w:rPr>
          <w:rFonts w:ascii="Arial" w:hAnsi="Arial" w:cs="Arial"/>
          <w:sz w:val="22"/>
        </w:rPr>
      </w:pPr>
      <w:r w:rsidRPr="000F3880">
        <w:rPr>
          <w:rFonts w:ascii="Arial" w:hAnsi="Arial" w:cs="Arial"/>
          <w:sz w:val="22"/>
        </w:rPr>
        <w:t>Al encontrarse Europa dividida en dos sistemas de alianzas hostiles, cualquier alteración de la situación política o militar en Europa, África o en cualquier otro lugar provocaría un incidente internacional. Desde 1905 hasta 1914 tuvieron lugar varias crisis internacionales y dos guerras locales, y todas ellas estuvieron a punto de desencadenar una guerra general en Europa.</w:t>
      </w:r>
    </w:p>
    <w:p w:rsidR="00387185" w:rsidRPr="000F3880" w:rsidRDefault="008E6A94" w:rsidP="00080DA6">
      <w:pPr>
        <w:rPr>
          <w:rFonts w:ascii="Arial" w:hAnsi="Arial" w:cs="Arial"/>
          <w:sz w:val="22"/>
        </w:rPr>
      </w:pPr>
      <w:r w:rsidRPr="000F3880">
        <w:rPr>
          <w:rFonts w:ascii="Arial" w:hAnsi="Arial" w:cs="Arial"/>
          <w:sz w:val="22"/>
        </w:rPr>
        <w:t xml:space="preserve">El primer conflicto se produjo en Marruecos, donde Alemania combatió en 1905 y 1906 para apoyar al país en su lucha por la independencia y para evitar el dominio del área por Francia y España. Francia amenazó a Alemania con declararle la guerra, pero el </w:t>
      </w:r>
      <w:r w:rsidRPr="000F3880">
        <w:rPr>
          <w:rFonts w:ascii="Arial" w:hAnsi="Arial" w:cs="Arial"/>
          <w:sz w:val="22"/>
        </w:rPr>
        <w:lastRenderedPageBreak/>
        <w:t xml:space="preserve">incidente se solucionó finalmente en una conferencia internacional celebrada en Algeciras en 1906. </w:t>
      </w:r>
    </w:p>
    <w:p w:rsidR="00387185" w:rsidRPr="000F3880" w:rsidRDefault="008E6A94" w:rsidP="00080DA6">
      <w:pPr>
        <w:rPr>
          <w:rFonts w:ascii="Arial" w:hAnsi="Arial" w:cs="Arial"/>
          <w:sz w:val="22"/>
        </w:rPr>
      </w:pPr>
      <w:r w:rsidRPr="000F3880">
        <w:rPr>
          <w:rFonts w:ascii="Arial" w:hAnsi="Arial" w:cs="Arial"/>
          <w:sz w:val="22"/>
        </w:rPr>
        <w:t xml:space="preserve">Los Balcanes fueron el escenario de un nuevo enfrentamiento en 1908, motivado por la anexión de Bosnia-Herzegovina por parte de Austria-Hungría. Entre los distintos tipos de paneslavismo se encontraba el </w:t>
      </w:r>
      <w:proofErr w:type="spellStart"/>
      <w:r w:rsidRPr="000F3880">
        <w:rPr>
          <w:rFonts w:ascii="Arial" w:hAnsi="Arial" w:cs="Arial"/>
          <w:sz w:val="22"/>
        </w:rPr>
        <w:t>panserbianismo</w:t>
      </w:r>
      <w:proofErr w:type="spellEnd"/>
      <w:r w:rsidRPr="000F3880">
        <w:rPr>
          <w:rFonts w:ascii="Arial" w:hAnsi="Arial" w:cs="Arial"/>
          <w:sz w:val="22"/>
        </w:rPr>
        <w:t xml:space="preserve"> o movimiento para la creación de una Gran Serbia, uno de cuyos objetivos era que esta región adquiriera la zona meridional de Bosnia, por lo que los serbios amenazaron a Austria con declararle la guerra. No se inició ninguna campaña debido a que los serbios no podían emprender la lucha sin el apoyo de Rusia, y ésta no se encontraba en condiciones de intervenir en la contienda.</w:t>
      </w:r>
    </w:p>
    <w:p w:rsidR="00387185" w:rsidRPr="000F3880" w:rsidRDefault="008E6A94" w:rsidP="00080DA6">
      <w:pPr>
        <w:rPr>
          <w:rFonts w:ascii="Arial" w:hAnsi="Arial" w:cs="Arial"/>
          <w:sz w:val="22"/>
        </w:rPr>
      </w:pPr>
      <w:r w:rsidRPr="000F3880">
        <w:rPr>
          <w:rFonts w:ascii="Arial" w:hAnsi="Arial" w:cs="Arial"/>
          <w:sz w:val="22"/>
        </w:rPr>
        <w:t xml:space="preserve">En 1911 estalló una nueva crisis en Marruecos, cuando el gobierno alemán envió un buque de guerra a </w:t>
      </w:r>
      <w:proofErr w:type="spellStart"/>
      <w:r w:rsidRPr="000F3880">
        <w:rPr>
          <w:rFonts w:ascii="Arial" w:hAnsi="Arial" w:cs="Arial"/>
          <w:sz w:val="22"/>
        </w:rPr>
        <w:t>Agadir</w:t>
      </w:r>
      <w:proofErr w:type="spellEnd"/>
      <w:r w:rsidRPr="000F3880">
        <w:rPr>
          <w:rFonts w:ascii="Arial" w:hAnsi="Arial" w:cs="Arial"/>
          <w:sz w:val="22"/>
        </w:rPr>
        <w:t xml:space="preserve"> en protesta por los intentos franceses para conseguir la supremacía en esta zona. Hubo amenazas de guerra por ambas partes, pero el conflicto se solventó en la Conferencia de </w:t>
      </w:r>
      <w:proofErr w:type="spellStart"/>
      <w:r w:rsidRPr="000F3880">
        <w:rPr>
          <w:rFonts w:ascii="Arial" w:hAnsi="Arial" w:cs="Arial"/>
          <w:sz w:val="22"/>
        </w:rPr>
        <w:t>Agadir</w:t>
      </w:r>
      <w:proofErr w:type="spellEnd"/>
      <w:r w:rsidRPr="000F3880">
        <w:rPr>
          <w:rFonts w:ascii="Arial" w:hAnsi="Arial" w:cs="Arial"/>
          <w:sz w:val="22"/>
        </w:rPr>
        <w:t xml:space="preserve">. Italia, aprovechando la preocupación de las grandes potencias por la cuestión marroquí, declaró la guerra al Imperio otomano en 1911 con la esperanza de poder anexionarse la región de </w:t>
      </w:r>
      <w:proofErr w:type="spellStart"/>
      <w:r w:rsidRPr="000F3880">
        <w:rPr>
          <w:rFonts w:ascii="Arial" w:hAnsi="Arial" w:cs="Arial"/>
          <w:sz w:val="22"/>
        </w:rPr>
        <w:t>Tripolitania</w:t>
      </w:r>
      <w:proofErr w:type="spellEnd"/>
      <w:r w:rsidRPr="000F3880">
        <w:rPr>
          <w:rFonts w:ascii="Arial" w:hAnsi="Arial" w:cs="Arial"/>
          <w:sz w:val="22"/>
        </w:rPr>
        <w:t xml:space="preserve">, situada al norte de África. Dado que Alemania se había visto obligada a entablar relaciones amistosas con el Imperio otomano a causa de su política de </w:t>
      </w:r>
      <w:proofErr w:type="spellStart"/>
      <w:r w:rsidRPr="000F3880">
        <w:rPr>
          <w:rFonts w:ascii="Arial" w:hAnsi="Arial" w:cs="Arial"/>
          <w:i/>
          <w:iCs/>
          <w:sz w:val="22"/>
        </w:rPr>
        <w:t>Drang</w:t>
      </w:r>
      <w:proofErr w:type="spellEnd"/>
      <w:r w:rsidRPr="000F3880">
        <w:rPr>
          <w:rFonts w:ascii="Arial" w:hAnsi="Arial" w:cs="Arial"/>
          <w:i/>
          <w:iCs/>
          <w:sz w:val="22"/>
        </w:rPr>
        <w:t xml:space="preserve"> </w:t>
      </w:r>
      <w:proofErr w:type="spellStart"/>
      <w:r w:rsidRPr="000F3880">
        <w:rPr>
          <w:rFonts w:ascii="Arial" w:hAnsi="Arial" w:cs="Arial"/>
          <w:i/>
          <w:iCs/>
          <w:sz w:val="22"/>
        </w:rPr>
        <w:t>nach</w:t>
      </w:r>
      <w:proofErr w:type="spellEnd"/>
      <w:r w:rsidRPr="000F3880">
        <w:rPr>
          <w:rFonts w:ascii="Arial" w:hAnsi="Arial" w:cs="Arial"/>
          <w:i/>
          <w:iCs/>
          <w:sz w:val="22"/>
        </w:rPr>
        <w:t xml:space="preserve"> </w:t>
      </w:r>
      <w:proofErr w:type="spellStart"/>
      <w:r w:rsidRPr="000F3880">
        <w:rPr>
          <w:rFonts w:ascii="Arial" w:hAnsi="Arial" w:cs="Arial"/>
          <w:i/>
          <w:iCs/>
          <w:sz w:val="22"/>
        </w:rPr>
        <w:t>Osten</w:t>
      </w:r>
      <w:proofErr w:type="spellEnd"/>
      <w:r w:rsidRPr="000F3880">
        <w:rPr>
          <w:rFonts w:ascii="Arial" w:hAnsi="Arial" w:cs="Arial"/>
          <w:sz w:val="22"/>
        </w:rPr>
        <w:t xml:space="preserve"> (“Expansión hacia el Este”), el ataque de Italia debilitó a la Triple Alianza y alentó a sus enemigos.</w:t>
      </w:r>
    </w:p>
    <w:p w:rsidR="00387185" w:rsidRPr="000F3880" w:rsidRDefault="008E6A94" w:rsidP="00080DA6">
      <w:pPr>
        <w:rPr>
          <w:rFonts w:ascii="Arial" w:hAnsi="Arial" w:cs="Arial"/>
          <w:sz w:val="22"/>
        </w:rPr>
      </w:pPr>
      <w:r w:rsidRPr="000F3880">
        <w:rPr>
          <w:rFonts w:ascii="Arial" w:hAnsi="Arial" w:cs="Arial"/>
          <w:sz w:val="22"/>
        </w:rPr>
        <w:t>Las Guerras Balcánicas de 1912-1913 aumentaron el interés de Serbia por obtener el control de las áreas del Imperio Austro-Húngaro habitadas por pueblos eslavos. Esto agudizó el recelo del Imperio Austro-Húngaro hacia los serbios y generó en Bulgaria y el Imperio otomano un deseo de revancha tras su derrota en dichos conflictos. Alemania, irritada por el hecho de que el Imperio otomano hubiera perdido sus territorios en Europa como consecuencia del conflicto balcánico, formó un Ejército más numeroso. Francia respondió con la ampliación del servicio militar obligatorio de dos a tres años en tiempo de paz. Las demás naciones europeas siguieron el ejemplo de estas potencias y asignaron en 1913 y 1914 enormes cantidades al presupuesto destinado a gastos militares.</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b/>
          <w:bCs/>
          <w:sz w:val="22"/>
        </w:rPr>
      </w:pPr>
      <w:r w:rsidRPr="000F3880">
        <w:rPr>
          <w:rFonts w:ascii="Arial" w:hAnsi="Arial" w:cs="Arial"/>
          <w:b/>
          <w:bCs/>
          <w:sz w:val="22"/>
        </w:rPr>
        <w:t>Conclusión</w:t>
      </w:r>
    </w:p>
    <w:p w:rsidR="00387185" w:rsidRPr="000F3880" w:rsidRDefault="00387185" w:rsidP="00080DA6">
      <w:pPr>
        <w:rPr>
          <w:rFonts w:ascii="Arial" w:hAnsi="Arial" w:cs="Arial"/>
          <w:sz w:val="22"/>
        </w:rPr>
      </w:pPr>
    </w:p>
    <w:p w:rsidR="00387185" w:rsidRPr="000F3880" w:rsidRDefault="008E6A94" w:rsidP="00080DA6">
      <w:pPr>
        <w:rPr>
          <w:rFonts w:ascii="Arial" w:hAnsi="Arial" w:cs="Arial"/>
          <w:sz w:val="22"/>
        </w:rPr>
      </w:pPr>
      <w:r w:rsidRPr="000F3880">
        <w:rPr>
          <w:rFonts w:ascii="Arial" w:hAnsi="Arial" w:cs="Arial"/>
          <w:sz w:val="22"/>
        </w:rPr>
        <w:t>Las causas de la Primera Guerra Mundial se gestan a lo largo del siglo XIX y principio del XX en una Europa que arrastra multitud de conflictos latentes y explícitos derivados de las reivindicaciones nacionalistas, de una concepción ultra-liberal de la economía y de una competencia radical entre las naciones-estado, convertidas en potencias industriales y grandes imperios. Solo una Europa fuertemente armada y desgarrada por rivalidades territoriales, económicas y políticas explica que el asesinato del archiduque austriaco desencadenara una confrontación tan catastrófica que fue llamada “la guerra que acabará con todas las guerras”; aunque, de hecho, fue solo el principio.</w:t>
      </w:r>
    </w:p>
    <w:p w:rsidR="008E6A94" w:rsidRPr="000F3880" w:rsidRDefault="008E6A94" w:rsidP="00080DA6">
      <w:pPr>
        <w:rPr>
          <w:rFonts w:ascii="Arial" w:hAnsi="Arial" w:cs="Arial"/>
          <w:sz w:val="22"/>
        </w:rPr>
      </w:pPr>
    </w:p>
    <w:sectPr w:rsidR="008E6A94" w:rsidRPr="000F388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A94" w:rsidRDefault="008E6A94">
      <w:r>
        <w:separator/>
      </w:r>
    </w:p>
  </w:endnote>
  <w:endnote w:type="continuationSeparator" w:id="0">
    <w:p w:rsidR="008E6A94" w:rsidRDefault="008E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A94" w:rsidRDefault="008E6A94">
      <w:r>
        <w:separator/>
      </w:r>
    </w:p>
  </w:footnote>
  <w:footnote w:type="continuationSeparator" w:id="0">
    <w:p w:rsidR="008E6A94" w:rsidRDefault="008E6A94">
      <w:r>
        <w:continuationSeparator/>
      </w:r>
    </w:p>
  </w:footnote>
  <w:footnote w:id="1">
    <w:p w:rsidR="00387185" w:rsidRDefault="008E6A94">
      <w:pPr>
        <w:pStyle w:val="Textonotapie"/>
        <w:rPr>
          <w:rFonts w:ascii="Garamond" w:hAnsi="Garamond"/>
        </w:rPr>
      </w:pPr>
      <w:r>
        <w:rPr>
          <w:rStyle w:val="Refdenotaalpie"/>
        </w:rPr>
        <w:footnoteRef/>
      </w:r>
      <w:r>
        <w:t xml:space="preserve"> </w:t>
      </w:r>
      <w:r>
        <w:rPr>
          <w:rFonts w:ascii="Garamond" w:hAnsi="Garamond"/>
        </w:rPr>
        <w:t xml:space="preserve">Pierre </w:t>
      </w:r>
      <w:proofErr w:type="spellStart"/>
      <w:r>
        <w:rPr>
          <w:rFonts w:ascii="Garamond" w:hAnsi="Garamond"/>
        </w:rPr>
        <w:t>Renouvin</w:t>
      </w:r>
      <w:proofErr w:type="spellEnd"/>
      <w:r>
        <w:rPr>
          <w:rFonts w:ascii="Garamond" w:hAnsi="Garamond"/>
        </w:rPr>
        <w:t xml:space="preserve"> constata que en vísperas de la crisis de junio de 1914 la situación europea tal como la evaluaron los representantes calificados de todas las potencias era </w:t>
      </w:r>
      <w:r>
        <w:rPr>
          <w:rFonts w:ascii="Garamond" w:hAnsi="Garamond"/>
          <w:i/>
          <w:iCs/>
        </w:rPr>
        <w:t>calme et pacifique</w:t>
      </w:r>
      <w:r>
        <w:rPr>
          <w:rFonts w:ascii="Garamond" w:hAnsi="Garamond"/>
        </w:rPr>
        <w:t xml:space="preserve">. Cita como prueba el informe de Jules </w:t>
      </w:r>
      <w:proofErr w:type="spellStart"/>
      <w:r>
        <w:rPr>
          <w:rFonts w:ascii="Garamond" w:hAnsi="Garamond"/>
        </w:rPr>
        <w:t>Cambon</w:t>
      </w:r>
      <w:proofErr w:type="spellEnd"/>
      <w:r>
        <w:rPr>
          <w:rFonts w:ascii="Garamond" w:hAnsi="Garamond"/>
        </w:rPr>
        <w:t xml:space="preserve">, embajador de Francia en Berlín, de 12 de junio, donde dice: “Estoy lejos de pensar que en este momento hay en la atmósfera algo que constituya una amenaza para nosotros; todo lo contrario”. Pero, prosigue </w:t>
      </w:r>
      <w:proofErr w:type="spellStart"/>
      <w:r>
        <w:rPr>
          <w:rFonts w:ascii="Garamond" w:hAnsi="Garamond"/>
        </w:rPr>
        <w:t>Renouvin</w:t>
      </w:r>
      <w:proofErr w:type="spellEnd"/>
      <w:r>
        <w:rPr>
          <w:rFonts w:ascii="Garamond" w:hAnsi="Garamond"/>
        </w:rPr>
        <w:t>, “quince días después, el atentado de Sarajevo abre la crisis internacional que conducirá a la guerra europea”. Aunque esta constatación del historiador francés no debe interpretarse como si el atentado de Sarajevo fuese la causa de la primera guerra mundial, cabe concluir que el asesinato de Francisco Fernando no fue solamente un incidente trágico sino un evento decisivo, íntimamente ligado a los orígenes de la guerra.</w:t>
      </w:r>
    </w:p>
  </w:footnote>
  <w:footnote w:id="2">
    <w:p w:rsidR="00387185" w:rsidRDefault="008E6A94">
      <w:pPr>
        <w:pStyle w:val="Textonotapie"/>
      </w:pPr>
      <w:r>
        <w:rPr>
          <w:rStyle w:val="Refdenotaalpie"/>
        </w:rPr>
        <w:footnoteRef/>
      </w:r>
      <w:r>
        <w:t xml:space="preserve"> </w:t>
      </w:r>
      <w:r>
        <w:rPr>
          <w:rFonts w:ascii="Garamond" w:hAnsi="Garamond"/>
        </w:rPr>
        <w:t xml:space="preserve"> La Triple Alianza, formada por Alemania, Austria-Hungría e Italia, y la Triple Entente, integrada por Gran Bretaña, Francia y Rusia.</w:t>
      </w:r>
    </w:p>
  </w:footnote>
  <w:footnote w:id="3">
    <w:p w:rsidR="00387185" w:rsidRDefault="008E6A94">
      <w:pPr>
        <w:pStyle w:val="Textonotapie"/>
      </w:pPr>
      <w:r>
        <w:rPr>
          <w:rStyle w:val="Refdenotaalpie"/>
        </w:rPr>
        <w:footnoteRef/>
      </w:r>
      <w:r>
        <w:t xml:space="preserve"> </w:t>
      </w:r>
      <w:proofErr w:type="spellStart"/>
      <w:r>
        <w:t>Hobsbawm</w:t>
      </w:r>
      <w:proofErr w:type="spellEnd"/>
      <w:r>
        <w:t xml:space="preserve">, Eric, </w:t>
      </w:r>
      <w:r>
        <w:rPr>
          <w:i/>
          <w:iCs/>
        </w:rPr>
        <w:t>La era del Imperio (1875-1914), Cap. 2.</w:t>
      </w:r>
      <w:r>
        <w:t xml:space="preserve"> Labor, Barcelona, 1990</w:t>
      </w:r>
    </w:p>
  </w:footnote>
  <w:footnote w:id="4">
    <w:p w:rsidR="00387185" w:rsidRDefault="008E6A94">
      <w:pPr>
        <w:pStyle w:val="Textonotapie"/>
      </w:pPr>
      <w:r>
        <w:rPr>
          <w:rStyle w:val="Refdenotaalpie"/>
        </w:rPr>
        <w:footnoteRef/>
      </w:r>
      <w:r>
        <w:t xml:space="preserve"> </w:t>
      </w:r>
      <w:proofErr w:type="spellStart"/>
      <w:r>
        <w:t>Op</w:t>
      </w:r>
      <w:proofErr w:type="spellEnd"/>
      <w:r>
        <w:t>. cit.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s-ES" w:vendorID="9" w:dllVersion="512" w:checkStyle="1"/>
  <w:activeWritingStyle w:appName="MSWord" w:lang="es-ES_tradnl" w:vendorID="9" w:dllVersion="512" w:checkStyle="1"/>
  <w:activeWritingStyle w:appName="MSWord" w:lang="fr-FR" w:vendorID="9" w:dllVersion="512" w:checkStyle="1"/>
  <w:proofState w:spelling="clean" w:grammar="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AF5"/>
    <w:rsid w:val="00080DA6"/>
    <w:rsid w:val="000F3880"/>
    <w:rsid w:val="00387185"/>
    <w:rsid w:val="00655E62"/>
    <w:rsid w:val="008E6A94"/>
    <w:rsid w:val="0095494E"/>
    <w:rsid w:val="00A82372"/>
    <w:rsid w:val="00FD0A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E934BB-97C2-1B44-9792-5C8512768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s-ES"/>
    </w:rPr>
  </w:style>
  <w:style w:type="paragraph" w:styleId="Ttulo1">
    <w:name w:val="heading 1"/>
    <w:basedOn w:val="Normal"/>
    <w:next w:val="Normal"/>
    <w:link w:val="Ttulo1Car"/>
    <w:uiPriority w:val="9"/>
    <w:qFormat/>
    <w:rsid w:val="00080DA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paragraph" w:styleId="Textonotapie">
    <w:name w:val="footnote text"/>
    <w:basedOn w:val="Normal"/>
    <w:semiHidden/>
    <w:rPr>
      <w:sz w:val="20"/>
      <w:szCs w:val="20"/>
    </w:rPr>
  </w:style>
  <w:style w:type="character" w:styleId="Refdenotaalpie">
    <w:name w:val="footnote reference"/>
    <w:basedOn w:val="Fuentedeprrafopredeter"/>
    <w:semiHidden/>
    <w:rPr>
      <w:vertAlign w:val="superscript"/>
    </w:rPr>
  </w:style>
  <w:style w:type="character" w:styleId="Hipervnculo">
    <w:name w:val="Hyperlink"/>
    <w:basedOn w:val="Fuentedeprrafopredeter"/>
    <w:semiHidden/>
    <w:rPr>
      <w:color w:val="0000FF"/>
      <w:u w:val="single"/>
    </w:rPr>
  </w:style>
  <w:style w:type="character" w:customStyle="1" w:styleId="Ttulo1Car">
    <w:name w:val="Título 1 Car"/>
    <w:basedOn w:val="Fuentedeprrafopredeter"/>
    <w:link w:val="Ttulo1"/>
    <w:uiPriority w:val="9"/>
    <w:rsid w:val="00080DA6"/>
    <w:rPr>
      <w:rFonts w:asciiTheme="majorHAnsi" w:eastAsiaTheme="majorEastAsia" w:hAnsiTheme="majorHAnsi" w:cstheme="majorBidi"/>
      <w:color w:val="2F5496" w:themeColor="accent1" w:themeShade="BF"/>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fael\Datos%20de%20programa\Microsoft\Plantillas\UOC.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UOC.dot</Template>
  <TotalTime>13</TotalTime>
  <Pages>6</Pages>
  <Words>3560</Words>
  <Characters>19281</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Primera Guerra Mundial</vt:lpstr>
    </vt:vector>
  </TitlesOfParts>
  <Company>Rafael Roca Arrufat</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Primera Guerra Mundial</dc:title>
  <dc:subject/>
  <dc:creator>Rafael Roca Arrufat</dc:creator>
  <cp:keywords/>
  <dc:description/>
  <cp:lastModifiedBy>Raf</cp:lastModifiedBy>
  <cp:revision>5</cp:revision>
  <cp:lastPrinted>1899-12-31T23:00:00Z</cp:lastPrinted>
  <dcterms:created xsi:type="dcterms:W3CDTF">2020-06-02T11:16:00Z</dcterms:created>
  <dcterms:modified xsi:type="dcterms:W3CDTF">2020-06-03T09:54:00Z</dcterms:modified>
</cp:coreProperties>
</file>